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F8" w:rsidRPr="004F0DC0" w:rsidRDefault="00CD66F8" w:rsidP="00CD66F8">
      <w:pPr>
        <w:suppressAutoHyphens/>
        <w:snapToGrid w:val="0"/>
        <w:jc w:val="both"/>
        <w:outlineLvl w:val="0"/>
        <w:rPr>
          <w:b/>
        </w:rPr>
      </w:pPr>
      <w:r>
        <w:rPr>
          <w:b/>
        </w:rPr>
        <w:t>Календарный учебный график</w:t>
      </w:r>
    </w:p>
    <w:p w:rsidR="00CD66F8" w:rsidRPr="004F0DC0" w:rsidRDefault="00CD66F8" w:rsidP="00CD66F8">
      <w:pPr>
        <w:suppressAutoHyphens/>
        <w:snapToGrid w:val="0"/>
        <w:jc w:val="both"/>
        <w:outlineLvl w:val="0"/>
        <w:rPr>
          <w:b/>
        </w:rPr>
      </w:pPr>
    </w:p>
    <w:p w:rsidR="00CD66F8" w:rsidRPr="004F0DC0" w:rsidRDefault="00CD66F8" w:rsidP="00CD66F8">
      <w:pPr>
        <w:suppressAutoHyphens/>
        <w:snapToGrid w:val="0"/>
        <w:jc w:val="both"/>
        <w:outlineLvl w:val="0"/>
      </w:pPr>
      <w:r>
        <w:t xml:space="preserve">        </w:t>
      </w:r>
      <w:r w:rsidRPr="004F0DC0">
        <w:t xml:space="preserve">Календарный   учебный график является локальным нормативным документом, регламентирующим общие требования к организации </w:t>
      </w:r>
      <w:r w:rsidR="00040D8D">
        <w:t>образовательного процесса в 2024-2025</w:t>
      </w:r>
      <w:r w:rsidRPr="004F0DC0">
        <w:t xml:space="preserve"> учебном году в МБДОУ «Детский сад № 4 </w:t>
      </w:r>
      <w:r>
        <w:t>«</w:t>
      </w:r>
      <w:r w:rsidRPr="004F0DC0">
        <w:t>Радуга» г. Рыбное.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 xml:space="preserve">         Календарный учебный график разработан в соответствии со следующими нормативными документами: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‒</w:t>
      </w:r>
      <w:r w:rsidRPr="004F0DC0">
        <w:tab/>
        <w:t>Федеральным законом от 29 декабря 2012 г. № 273-ФЗ «Об образовании в Российской Федерации» (часть 9 статьи 2);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‒</w:t>
      </w:r>
      <w:r w:rsidRPr="004F0DC0">
        <w:tab/>
        <w:t>Приказом Министерства просвещения Российской Федерации от 31 июля 2020г.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‒</w:t>
      </w:r>
      <w:r w:rsidRPr="004F0DC0">
        <w:tab/>
        <w:t>СанПиН   2.4.3648-20 «Санитарно-эпидемиологические требования к организациям воспитания и обучения, отдыха и оздоровления детей и молодежи»; федеральный государственный образовательный стандарт дошкольного</w:t>
      </w:r>
      <w:r>
        <w:t xml:space="preserve"> </w:t>
      </w:r>
      <w:r w:rsidRPr="004F0DC0">
        <w:t xml:space="preserve">образования (утвержден приказом </w:t>
      </w:r>
      <w:proofErr w:type="spellStart"/>
      <w:r w:rsidRPr="004F0DC0">
        <w:t>Минобрнауки</w:t>
      </w:r>
      <w:proofErr w:type="spellEnd"/>
      <w:r w:rsidRPr="004F0DC0">
        <w:t xml:space="preserve"> России от 17 октября 2013 г. № 1155, зарегистрировано в Минюсте России 14 ноября 2013 г., регистрационный № 30384; </w:t>
      </w:r>
      <w:proofErr w:type="gramStart"/>
      <w:r w:rsidRPr="004F0DC0">
        <w:t xml:space="preserve">в редакции приказа </w:t>
      </w:r>
      <w:proofErr w:type="spellStart"/>
      <w:r w:rsidRPr="004F0DC0">
        <w:t>Минпросвещения</w:t>
      </w:r>
      <w:proofErr w:type="spellEnd"/>
      <w:r w:rsidRPr="004F0DC0">
        <w:t xml:space="preserve"> России от 8 ноября 2022 г. № 955, зарегистрировано в Минюсте России 6 февраля 2023 г., регистрационный № 72264);</w:t>
      </w:r>
      <w:proofErr w:type="gramEnd"/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‒</w:t>
      </w:r>
      <w:r w:rsidRPr="004F0DC0"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(утверждены постановлением Главного государственного санитарного врача Российской Федерации от 28.01.2021 №2; зарегистрировано в Минюсте России 29 января.2021 № 62296);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>
        <w:t>‒</w:t>
      </w:r>
      <w:r>
        <w:tab/>
        <w:t xml:space="preserve">Уставом ДОО.  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>
        <w:t xml:space="preserve">          </w:t>
      </w:r>
      <w:r w:rsidRPr="004F0DC0"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•</w:t>
      </w:r>
      <w:r w:rsidRPr="004F0DC0">
        <w:tab/>
        <w:t>режим работы ДОО;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•</w:t>
      </w:r>
      <w:r w:rsidRPr="004F0DC0">
        <w:tab/>
        <w:t>продолжительность учебного года;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•</w:t>
      </w:r>
      <w:r w:rsidRPr="004F0DC0">
        <w:tab/>
        <w:t>количество недель в учебном году;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•</w:t>
      </w:r>
      <w:r w:rsidRPr="004F0DC0">
        <w:tab/>
        <w:t>сроки проведения мониторинга;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•</w:t>
      </w:r>
      <w:r w:rsidRPr="004F0DC0">
        <w:tab/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 xml:space="preserve"> 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 xml:space="preserve">Режим работы ДОУ: </w:t>
      </w:r>
      <w:r w:rsidR="00040D8D">
        <w:t xml:space="preserve"> 3 группы по </w:t>
      </w:r>
      <w:r w:rsidRPr="004F0DC0">
        <w:t>12-часовой (с 7.00 – 19.00),</w:t>
      </w:r>
      <w:r w:rsidR="00040D8D" w:rsidRPr="00040D8D">
        <w:t xml:space="preserve"> </w:t>
      </w:r>
      <w:r w:rsidR="00040D8D">
        <w:t>1 группа по 10,5-часовой (с 7.30 – 18</w:t>
      </w:r>
      <w:r w:rsidR="00040D8D" w:rsidRPr="00040D8D">
        <w:t xml:space="preserve">.00), </w:t>
      </w:r>
      <w:r w:rsidRPr="004F0DC0">
        <w:t xml:space="preserve"> рабочая неделя состоит из 5 дней, суббота и воскресенье – выходные дни. 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  <w:r w:rsidRPr="004F0DC0">
        <w:t>Продолжительность учебного года составляет 36 недель (1 и 2 полугодия) без учета каникулярного времени.</w:t>
      </w:r>
    </w:p>
    <w:p w:rsidR="00CD66F8" w:rsidRPr="004F0DC0" w:rsidRDefault="00CD66F8" w:rsidP="00CD66F8">
      <w:pPr>
        <w:suppressAutoHyphens/>
        <w:snapToGrid w:val="0"/>
        <w:jc w:val="both"/>
        <w:outlineLvl w:val="0"/>
      </w:pPr>
    </w:p>
    <w:tbl>
      <w:tblPr>
        <w:tblW w:w="110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058"/>
        <w:gridCol w:w="2288"/>
        <w:gridCol w:w="2929"/>
      </w:tblGrid>
      <w:tr w:rsidR="00CD66F8" w:rsidRPr="004F0DC0" w:rsidTr="001D1F99">
        <w:trPr>
          <w:trHeight w:val="287"/>
        </w:trPr>
        <w:tc>
          <w:tcPr>
            <w:tcW w:w="110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6F8" w:rsidRPr="004F0DC0" w:rsidRDefault="00CD66F8" w:rsidP="001D1F99">
            <w:pPr>
              <w:rPr>
                <w:color w:val="181818"/>
              </w:rPr>
            </w:pPr>
            <w:r w:rsidRPr="004F0DC0">
              <w:rPr>
                <w:b/>
                <w:bCs/>
                <w:color w:val="181818"/>
              </w:rPr>
              <w:t>1. Режим работы учреждения</w:t>
            </w:r>
          </w:p>
        </w:tc>
      </w:tr>
      <w:tr w:rsidR="00CD66F8" w:rsidRPr="004F0DC0" w:rsidTr="001D1F99">
        <w:trPr>
          <w:trHeight w:val="249"/>
        </w:trPr>
        <w:tc>
          <w:tcPr>
            <w:tcW w:w="5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6F8" w:rsidRPr="004F0DC0" w:rsidRDefault="00CD66F8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 Продолжительность учебной недели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6F8" w:rsidRPr="004F0DC0" w:rsidRDefault="00CD66F8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5 дней (с понедельника по пятницу)</w:t>
            </w:r>
          </w:p>
        </w:tc>
      </w:tr>
      <w:tr w:rsidR="00CD66F8" w:rsidRPr="004F0DC0" w:rsidTr="001D1F99">
        <w:trPr>
          <w:trHeight w:val="221"/>
        </w:trPr>
        <w:tc>
          <w:tcPr>
            <w:tcW w:w="5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6F8" w:rsidRPr="004F0DC0" w:rsidRDefault="00CD66F8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 xml:space="preserve"> Время работы </w:t>
            </w:r>
            <w:r w:rsidR="00040D8D">
              <w:rPr>
                <w:color w:val="181818"/>
              </w:rPr>
              <w:t xml:space="preserve">3 </w:t>
            </w:r>
            <w:r w:rsidRPr="004F0DC0">
              <w:rPr>
                <w:color w:val="181818"/>
              </w:rPr>
              <w:t>возрастных групп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66F8" w:rsidRPr="004F0DC0" w:rsidRDefault="00CD66F8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 с 7.00 до 19.00 часов</w:t>
            </w:r>
          </w:p>
        </w:tc>
      </w:tr>
      <w:tr w:rsidR="00040D8D" w:rsidRPr="004F0DC0" w:rsidTr="001D1F99">
        <w:trPr>
          <w:trHeight w:val="221"/>
        </w:trPr>
        <w:tc>
          <w:tcPr>
            <w:tcW w:w="5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D8D" w:rsidRPr="004F0DC0" w:rsidRDefault="00040D8D" w:rsidP="00591491">
            <w:pPr>
              <w:rPr>
                <w:color w:val="181818"/>
              </w:rPr>
            </w:pPr>
            <w:r w:rsidRPr="004F0DC0">
              <w:rPr>
                <w:color w:val="181818"/>
              </w:rPr>
              <w:t xml:space="preserve"> Время работы </w:t>
            </w:r>
            <w:r>
              <w:rPr>
                <w:color w:val="181818"/>
              </w:rPr>
              <w:t xml:space="preserve">1 компенсирующего вида </w:t>
            </w:r>
            <w:r w:rsidRPr="004F0DC0">
              <w:rPr>
                <w:color w:val="181818"/>
              </w:rPr>
              <w:t>групп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0D8D" w:rsidRPr="004F0DC0" w:rsidRDefault="00040D8D" w:rsidP="00591491">
            <w:pPr>
              <w:rPr>
                <w:color w:val="181818"/>
              </w:rPr>
            </w:pPr>
            <w:r>
              <w:rPr>
                <w:color w:val="181818"/>
              </w:rPr>
              <w:t> с 7.30 до 18</w:t>
            </w:r>
            <w:r w:rsidRPr="004F0DC0">
              <w:rPr>
                <w:color w:val="181818"/>
              </w:rPr>
              <w:t>.00 часов</w:t>
            </w:r>
          </w:p>
        </w:tc>
      </w:tr>
      <w:tr w:rsidR="00040D8D" w:rsidRPr="004F0DC0" w:rsidTr="001D1F99">
        <w:trPr>
          <w:trHeight w:val="221"/>
        </w:trPr>
        <w:tc>
          <w:tcPr>
            <w:tcW w:w="581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 Нерабочие дни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Суббота, воскресенье и праздничные дни</w:t>
            </w:r>
          </w:p>
        </w:tc>
      </w:tr>
      <w:tr w:rsidR="00040D8D" w:rsidRPr="004F0DC0" w:rsidTr="001D1F99">
        <w:trPr>
          <w:trHeight w:val="263"/>
        </w:trPr>
        <w:tc>
          <w:tcPr>
            <w:tcW w:w="110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b/>
                <w:bCs/>
                <w:color w:val="181818"/>
              </w:rPr>
              <w:t>2. Мероприятия, проводимые в рамках образовательного процесса</w:t>
            </w:r>
          </w:p>
        </w:tc>
      </w:tr>
      <w:tr w:rsidR="00040D8D" w:rsidRPr="004F0DC0" w:rsidTr="001D1F99">
        <w:trPr>
          <w:trHeight w:val="207"/>
        </w:trPr>
        <w:tc>
          <w:tcPr>
            <w:tcW w:w="1102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040D8D" w:rsidRPr="004F0DC0" w:rsidTr="00040D8D">
        <w:trPr>
          <w:trHeight w:val="263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Наименование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Сроки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Количество дней</w:t>
            </w:r>
          </w:p>
        </w:tc>
      </w:tr>
      <w:tr w:rsidR="00040D8D" w:rsidRPr="004F0DC0" w:rsidTr="00040D8D">
        <w:trPr>
          <w:trHeight w:val="304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 Педагогическая диагностика, первичный мониторинг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Первая половина октября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2 недели</w:t>
            </w:r>
          </w:p>
        </w:tc>
      </w:tr>
      <w:tr w:rsidR="00040D8D" w:rsidRPr="004F0DC0" w:rsidTr="00040D8D">
        <w:trPr>
          <w:trHeight w:val="406"/>
        </w:trPr>
        <w:tc>
          <w:tcPr>
            <w:tcW w:w="47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Итоговый мониторинг</w:t>
            </w:r>
          </w:p>
        </w:tc>
        <w:tc>
          <w:tcPr>
            <w:tcW w:w="33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Вторая половина мая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0D8D" w:rsidRPr="004F0DC0" w:rsidRDefault="00040D8D" w:rsidP="001D1F99">
            <w:pPr>
              <w:rPr>
                <w:color w:val="181818"/>
              </w:rPr>
            </w:pPr>
            <w:r w:rsidRPr="004F0DC0">
              <w:rPr>
                <w:color w:val="181818"/>
              </w:rPr>
              <w:t>2 недели</w:t>
            </w:r>
          </w:p>
        </w:tc>
      </w:tr>
    </w:tbl>
    <w:p w:rsidR="00CD66F8" w:rsidRDefault="00CD66F8" w:rsidP="00CD66F8">
      <w:pPr>
        <w:suppressAutoHyphens/>
        <w:snapToGrid w:val="0"/>
        <w:jc w:val="both"/>
        <w:outlineLvl w:val="0"/>
        <w:sectPr w:rsidR="00CD66F8" w:rsidSect="0064716F">
          <w:pgSz w:w="11906" w:h="16838"/>
          <w:pgMar w:top="737" w:right="624" w:bottom="1134" w:left="737" w:header="709" w:footer="709" w:gutter="0"/>
          <w:cols w:space="708"/>
          <w:docGrid w:linePitch="360"/>
        </w:sectPr>
      </w:pPr>
      <w:bookmarkStart w:id="0" w:name="_GoBack"/>
      <w:bookmarkEnd w:id="0"/>
    </w:p>
    <w:p w:rsidR="00DF4601" w:rsidRDefault="00DF4601" w:rsidP="00CD66F8"/>
    <w:sectPr w:rsidR="00DF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F8"/>
    <w:rsid w:val="00024809"/>
    <w:rsid w:val="00040D8D"/>
    <w:rsid w:val="00110D02"/>
    <w:rsid w:val="001C226E"/>
    <w:rsid w:val="002E03E4"/>
    <w:rsid w:val="00317226"/>
    <w:rsid w:val="003359D3"/>
    <w:rsid w:val="003A4547"/>
    <w:rsid w:val="003F48BC"/>
    <w:rsid w:val="0045259C"/>
    <w:rsid w:val="004C32D0"/>
    <w:rsid w:val="004C3FFD"/>
    <w:rsid w:val="00510709"/>
    <w:rsid w:val="007021D2"/>
    <w:rsid w:val="007106B5"/>
    <w:rsid w:val="00767136"/>
    <w:rsid w:val="0079452E"/>
    <w:rsid w:val="007D6C96"/>
    <w:rsid w:val="008205B5"/>
    <w:rsid w:val="008D382E"/>
    <w:rsid w:val="008D786C"/>
    <w:rsid w:val="0093608D"/>
    <w:rsid w:val="0093705E"/>
    <w:rsid w:val="00A04DB4"/>
    <w:rsid w:val="00AE5634"/>
    <w:rsid w:val="00AF2603"/>
    <w:rsid w:val="00AF59C9"/>
    <w:rsid w:val="00B851DF"/>
    <w:rsid w:val="00BE7704"/>
    <w:rsid w:val="00C21139"/>
    <w:rsid w:val="00C27A28"/>
    <w:rsid w:val="00C607E3"/>
    <w:rsid w:val="00C83921"/>
    <w:rsid w:val="00CD66F8"/>
    <w:rsid w:val="00DF4601"/>
    <w:rsid w:val="00E17A7B"/>
    <w:rsid w:val="00E32948"/>
    <w:rsid w:val="00E9787B"/>
    <w:rsid w:val="00EA4271"/>
    <w:rsid w:val="00F14A4A"/>
    <w:rsid w:val="00F226E5"/>
    <w:rsid w:val="00F55C67"/>
    <w:rsid w:val="00F8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doura</dc:creator>
  <cp:lastModifiedBy>dou4</cp:lastModifiedBy>
  <cp:revision>3</cp:revision>
  <dcterms:created xsi:type="dcterms:W3CDTF">2023-09-07T09:53:00Z</dcterms:created>
  <dcterms:modified xsi:type="dcterms:W3CDTF">2024-11-02T10:44:00Z</dcterms:modified>
</cp:coreProperties>
</file>